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0F8D3"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b/>
          <w:bCs/>
          <w:sz w:val="24"/>
          <w:szCs w:val="24"/>
          <w:u w:val="single"/>
          <w:lang w:eastAsia="de-AT"/>
        </w:rPr>
        <w:t>Neue Tarife ab 1.3.2026</w:t>
      </w:r>
    </w:p>
    <w:p w14:paraId="17967EA9"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b/>
          <w:bCs/>
          <w:sz w:val="24"/>
          <w:szCs w:val="24"/>
          <w:lang w:eastAsia="de-AT"/>
        </w:rPr>
        <w:t>1) Verbrauch (Strombezug innerhalb der EEG)</w:t>
      </w:r>
    </w:p>
    <w:p w14:paraId="0385E23B" w14:textId="77777777" w:rsidR="00FC4837" w:rsidRPr="00FC4837" w:rsidRDefault="00FC4837" w:rsidP="00FC4837">
      <w:pPr>
        <w:numPr>
          <w:ilvl w:val="0"/>
          <w:numId w:val="1"/>
        </w:num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b/>
          <w:bCs/>
          <w:sz w:val="24"/>
          <w:szCs w:val="24"/>
          <w:lang w:eastAsia="de-AT"/>
        </w:rPr>
        <w:t>Standard (Haushalte [&amp;] Betriebe): 10,0 ct/kWh</w:t>
      </w:r>
    </w:p>
    <w:p w14:paraId="424493D3"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b/>
          <w:bCs/>
          <w:sz w:val="24"/>
          <w:szCs w:val="24"/>
          <w:lang w:eastAsia="de-AT"/>
        </w:rPr>
        <w:t>2) Einspeisung (Stromlieferung in die EEG)</w:t>
      </w:r>
    </w:p>
    <w:p w14:paraId="5BE7EDCD"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b/>
          <w:bCs/>
          <w:sz w:val="24"/>
          <w:szCs w:val="24"/>
          <w:lang w:eastAsia="de-AT"/>
        </w:rPr>
        <w:t>PV-Einspeisetarif (monatlich variabel):</w:t>
      </w:r>
    </w:p>
    <w:p w14:paraId="6B9ABDBE" w14:textId="77777777" w:rsidR="00FC4837" w:rsidRPr="00FC4837" w:rsidRDefault="00FC4837" w:rsidP="00FC4837">
      <w:pPr>
        <w:numPr>
          <w:ilvl w:val="0"/>
          <w:numId w:val="2"/>
        </w:num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b/>
          <w:bCs/>
          <w:sz w:val="24"/>
          <w:szCs w:val="24"/>
          <w:lang w:eastAsia="de-AT"/>
        </w:rPr>
        <w:t>PV-Tarif = min(ÖMAG-Marktpreis (Monat) + 2,0 ct/kWh; max. 9,0 ct/kWh)</w:t>
      </w:r>
    </w:p>
    <w:p w14:paraId="2A6E0DEC"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 xml:space="preserve">Das heißt: Die Vergütung folgt monatlich dem Markt – </w:t>
      </w:r>
      <w:r w:rsidRPr="00FC4837">
        <w:rPr>
          <w:rFonts w:ascii="Times New Roman" w:eastAsia="Times New Roman" w:hAnsi="Times New Roman" w:cs="Times New Roman"/>
          <w:b/>
          <w:bCs/>
          <w:sz w:val="24"/>
          <w:szCs w:val="24"/>
          <w:lang w:eastAsia="de-AT"/>
        </w:rPr>
        <w:t>mit einem klaren Zuschlag</w:t>
      </w:r>
      <w:r w:rsidRPr="00FC4837">
        <w:rPr>
          <w:rFonts w:ascii="Times New Roman" w:eastAsia="Times New Roman" w:hAnsi="Times New Roman" w:cs="Times New Roman"/>
          <w:sz w:val="24"/>
          <w:szCs w:val="24"/>
          <w:lang w:eastAsia="de-AT"/>
        </w:rPr>
        <w:t xml:space="preserve"> – und ist zugleich </w:t>
      </w:r>
      <w:r w:rsidRPr="00FC4837">
        <w:rPr>
          <w:rFonts w:ascii="Times New Roman" w:eastAsia="Times New Roman" w:hAnsi="Times New Roman" w:cs="Times New Roman"/>
          <w:b/>
          <w:bCs/>
          <w:sz w:val="24"/>
          <w:szCs w:val="24"/>
          <w:lang w:eastAsia="de-AT"/>
        </w:rPr>
        <w:t>nach oben gedeckelt</w:t>
      </w:r>
      <w:r w:rsidRPr="00FC4837">
        <w:rPr>
          <w:rFonts w:ascii="Times New Roman" w:eastAsia="Times New Roman" w:hAnsi="Times New Roman" w:cs="Times New Roman"/>
          <w:sz w:val="24"/>
          <w:szCs w:val="24"/>
          <w:lang w:eastAsia="de-AT"/>
        </w:rPr>
        <w:t>, damit die Gemeinschaft insgesamt stabil und planbar bleibt.</w:t>
      </w:r>
    </w:p>
    <w:p w14:paraId="5B18DFCA"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u w:val="single"/>
          <w:lang w:eastAsia="de-AT"/>
        </w:rPr>
        <w:t>Mit dem Marktpreis aus dem Jahr 2025 hätte der monatliche Einspeisetarif wie folgt ausgeschaut:</w:t>
      </w:r>
    </w:p>
    <w:tbl>
      <w:tblPr>
        <w:tblW w:w="2505" w:type="dxa"/>
        <w:tblCellSpacing w:w="15" w:type="dxa"/>
        <w:tblCellMar>
          <w:top w:w="15" w:type="dxa"/>
          <w:left w:w="15" w:type="dxa"/>
          <w:bottom w:w="15" w:type="dxa"/>
          <w:right w:w="15" w:type="dxa"/>
        </w:tblCellMar>
        <w:tblLook w:val="04A0" w:firstRow="1" w:lastRow="0" w:firstColumn="1" w:lastColumn="0" w:noHBand="0" w:noVBand="1"/>
      </w:tblPr>
      <w:tblGrid>
        <w:gridCol w:w="1281"/>
        <w:gridCol w:w="1224"/>
      </w:tblGrid>
      <w:tr w:rsidR="00FC4837" w:rsidRPr="00FC4837" w14:paraId="63FF990D" w14:textId="77777777" w:rsidTr="00FC4837">
        <w:trPr>
          <w:tblCellSpacing w:w="15" w:type="dxa"/>
        </w:trPr>
        <w:tc>
          <w:tcPr>
            <w:tcW w:w="1260" w:type="dxa"/>
            <w:vAlign w:val="center"/>
            <w:hideMark/>
          </w:tcPr>
          <w:p w14:paraId="644E260B"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Jänner</w:t>
            </w:r>
          </w:p>
        </w:tc>
        <w:tc>
          <w:tcPr>
            <w:tcW w:w="1260" w:type="dxa"/>
            <w:vAlign w:val="center"/>
            <w:hideMark/>
          </w:tcPr>
          <w:p w14:paraId="25164FC9"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9</w:t>
            </w:r>
          </w:p>
        </w:tc>
      </w:tr>
      <w:tr w:rsidR="00FC4837" w:rsidRPr="00FC4837" w14:paraId="42F0D401" w14:textId="77777777" w:rsidTr="00FC4837">
        <w:trPr>
          <w:tblCellSpacing w:w="15" w:type="dxa"/>
        </w:trPr>
        <w:tc>
          <w:tcPr>
            <w:tcW w:w="1260" w:type="dxa"/>
            <w:vAlign w:val="center"/>
            <w:hideMark/>
          </w:tcPr>
          <w:p w14:paraId="5F9F690E"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Februar</w:t>
            </w:r>
          </w:p>
        </w:tc>
        <w:tc>
          <w:tcPr>
            <w:tcW w:w="1260" w:type="dxa"/>
            <w:vAlign w:val="center"/>
            <w:hideMark/>
          </w:tcPr>
          <w:p w14:paraId="018E160E"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9</w:t>
            </w:r>
          </w:p>
        </w:tc>
      </w:tr>
      <w:tr w:rsidR="00FC4837" w:rsidRPr="00FC4837" w14:paraId="1918F62D" w14:textId="77777777" w:rsidTr="00FC4837">
        <w:trPr>
          <w:tblCellSpacing w:w="15" w:type="dxa"/>
        </w:trPr>
        <w:tc>
          <w:tcPr>
            <w:tcW w:w="1260" w:type="dxa"/>
            <w:vAlign w:val="center"/>
            <w:hideMark/>
          </w:tcPr>
          <w:p w14:paraId="2C01F7B1"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März</w:t>
            </w:r>
          </w:p>
        </w:tc>
        <w:tc>
          <w:tcPr>
            <w:tcW w:w="1260" w:type="dxa"/>
            <w:vAlign w:val="center"/>
            <w:hideMark/>
          </w:tcPr>
          <w:p w14:paraId="6288119F"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8,007</w:t>
            </w:r>
          </w:p>
        </w:tc>
      </w:tr>
      <w:tr w:rsidR="00FC4837" w:rsidRPr="00FC4837" w14:paraId="61131B4D" w14:textId="77777777" w:rsidTr="00FC4837">
        <w:trPr>
          <w:tblCellSpacing w:w="15" w:type="dxa"/>
        </w:trPr>
        <w:tc>
          <w:tcPr>
            <w:tcW w:w="1260" w:type="dxa"/>
            <w:vAlign w:val="center"/>
            <w:hideMark/>
          </w:tcPr>
          <w:p w14:paraId="6DA8E806"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April</w:t>
            </w:r>
          </w:p>
        </w:tc>
        <w:tc>
          <w:tcPr>
            <w:tcW w:w="1260" w:type="dxa"/>
            <w:vAlign w:val="center"/>
            <w:hideMark/>
          </w:tcPr>
          <w:p w14:paraId="03DA198E"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7,855</w:t>
            </w:r>
          </w:p>
        </w:tc>
      </w:tr>
      <w:tr w:rsidR="00FC4837" w:rsidRPr="00FC4837" w14:paraId="0C000A55" w14:textId="77777777" w:rsidTr="00FC4837">
        <w:trPr>
          <w:tblCellSpacing w:w="15" w:type="dxa"/>
        </w:trPr>
        <w:tc>
          <w:tcPr>
            <w:tcW w:w="1260" w:type="dxa"/>
            <w:vAlign w:val="center"/>
            <w:hideMark/>
          </w:tcPr>
          <w:p w14:paraId="350B3416"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Mai</w:t>
            </w:r>
          </w:p>
        </w:tc>
        <w:tc>
          <w:tcPr>
            <w:tcW w:w="1260" w:type="dxa"/>
            <w:vAlign w:val="center"/>
            <w:hideMark/>
          </w:tcPr>
          <w:p w14:paraId="09DA050A"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7,855</w:t>
            </w:r>
          </w:p>
        </w:tc>
      </w:tr>
      <w:tr w:rsidR="00FC4837" w:rsidRPr="00FC4837" w14:paraId="5A3530FA" w14:textId="77777777" w:rsidTr="00FC4837">
        <w:trPr>
          <w:tblCellSpacing w:w="15" w:type="dxa"/>
        </w:trPr>
        <w:tc>
          <w:tcPr>
            <w:tcW w:w="1260" w:type="dxa"/>
            <w:vAlign w:val="center"/>
            <w:hideMark/>
          </w:tcPr>
          <w:p w14:paraId="78990D1B"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Juni</w:t>
            </w:r>
          </w:p>
        </w:tc>
        <w:tc>
          <w:tcPr>
            <w:tcW w:w="1260" w:type="dxa"/>
            <w:vAlign w:val="center"/>
            <w:hideMark/>
          </w:tcPr>
          <w:p w14:paraId="2298C7C9"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7,855</w:t>
            </w:r>
          </w:p>
        </w:tc>
      </w:tr>
      <w:tr w:rsidR="00FC4837" w:rsidRPr="00FC4837" w14:paraId="35707BCD" w14:textId="77777777" w:rsidTr="00FC4837">
        <w:trPr>
          <w:tblCellSpacing w:w="15" w:type="dxa"/>
        </w:trPr>
        <w:tc>
          <w:tcPr>
            <w:tcW w:w="1260" w:type="dxa"/>
            <w:vAlign w:val="center"/>
            <w:hideMark/>
          </w:tcPr>
          <w:p w14:paraId="45A4C12F"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Juli</w:t>
            </w:r>
          </w:p>
        </w:tc>
        <w:tc>
          <w:tcPr>
            <w:tcW w:w="1260" w:type="dxa"/>
            <w:vAlign w:val="center"/>
            <w:hideMark/>
          </w:tcPr>
          <w:p w14:paraId="5C940429"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7,965</w:t>
            </w:r>
          </w:p>
        </w:tc>
      </w:tr>
      <w:tr w:rsidR="00FC4837" w:rsidRPr="00FC4837" w14:paraId="2B0841CF" w14:textId="77777777" w:rsidTr="00FC4837">
        <w:trPr>
          <w:tblCellSpacing w:w="15" w:type="dxa"/>
        </w:trPr>
        <w:tc>
          <w:tcPr>
            <w:tcW w:w="1260" w:type="dxa"/>
            <w:vAlign w:val="center"/>
            <w:hideMark/>
          </w:tcPr>
          <w:p w14:paraId="374A3852"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August</w:t>
            </w:r>
          </w:p>
        </w:tc>
        <w:tc>
          <w:tcPr>
            <w:tcW w:w="1260" w:type="dxa"/>
            <w:vAlign w:val="center"/>
            <w:hideMark/>
          </w:tcPr>
          <w:p w14:paraId="355F7B41"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7,892</w:t>
            </w:r>
          </w:p>
        </w:tc>
      </w:tr>
      <w:tr w:rsidR="00FC4837" w:rsidRPr="00FC4837" w14:paraId="5981CF5E" w14:textId="77777777" w:rsidTr="00FC4837">
        <w:trPr>
          <w:tblCellSpacing w:w="15" w:type="dxa"/>
        </w:trPr>
        <w:tc>
          <w:tcPr>
            <w:tcW w:w="1260" w:type="dxa"/>
            <w:vAlign w:val="center"/>
            <w:hideMark/>
          </w:tcPr>
          <w:p w14:paraId="76D169D4"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September</w:t>
            </w:r>
          </w:p>
        </w:tc>
        <w:tc>
          <w:tcPr>
            <w:tcW w:w="1260" w:type="dxa"/>
            <w:vAlign w:val="center"/>
            <w:hideMark/>
          </w:tcPr>
          <w:p w14:paraId="5AD5DCBB"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7,892</w:t>
            </w:r>
          </w:p>
        </w:tc>
      </w:tr>
      <w:tr w:rsidR="00FC4837" w:rsidRPr="00FC4837" w14:paraId="5769F033" w14:textId="77777777" w:rsidTr="00FC4837">
        <w:trPr>
          <w:tblCellSpacing w:w="15" w:type="dxa"/>
        </w:trPr>
        <w:tc>
          <w:tcPr>
            <w:tcW w:w="1260" w:type="dxa"/>
            <w:vAlign w:val="center"/>
            <w:hideMark/>
          </w:tcPr>
          <w:p w14:paraId="63FD3664"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Oktober</w:t>
            </w:r>
          </w:p>
        </w:tc>
        <w:tc>
          <w:tcPr>
            <w:tcW w:w="1260" w:type="dxa"/>
            <w:vAlign w:val="center"/>
            <w:hideMark/>
          </w:tcPr>
          <w:p w14:paraId="041C9417"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9</w:t>
            </w:r>
          </w:p>
        </w:tc>
      </w:tr>
      <w:tr w:rsidR="00FC4837" w:rsidRPr="00FC4837" w14:paraId="18D2D600" w14:textId="77777777" w:rsidTr="00FC4837">
        <w:trPr>
          <w:tblCellSpacing w:w="15" w:type="dxa"/>
        </w:trPr>
        <w:tc>
          <w:tcPr>
            <w:tcW w:w="1260" w:type="dxa"/>
            <w:vAlign w:val="center"/>
            <w:hideMark/>
          </w:tcPr>
          <w:p w14:paraId="1630B710"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November</w:t>
            </w:r>
          </w:p>
        </w:tc>
        <w:tc>
          <w:tcPr>
            <w:tcW w:w="1260" w:type="dxa"/>
            <w:vAlign w:val="center"/>
            <w:hideMark/>
          </w:tcPr>
          <w:p w14:paraId="65EB8ED1"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9</w:t>
            </w:r>
          </w:p>
        </w:tc>
      </w:tr>
      <w:tr w:rsidR="00FC4837" w:rsidRPr="00FC4837" w14:paraId="58B4BB40" w14:textId="77777777" w:rsidTr="00FC4837">
        <w:trPr>
          <w:tblCellSpacing w:w="15" w:type="dxa"/>
        </w:trPr>
        <w:tc>
          <w:tcPr>
            <w:tcW w:w="1260" w:type="dxa"/>
            <w:vAlign w:val="center"/>
            <w:hideMark/>
          </w:tcPr>
          <w:p w14:paraId="6B686AF4"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Dezember</w:t>
            </w:r>
          </w:p>
        </w:tc>
        <w:tc>
          <w:tcPr>
            <w:tcW w:w="1260" w:type="dxa"/>
            <w:vAlign w:val="center"/>
            <w:hideMark/>
          </w:tcPr>
          <w:p w14:paraId="1FDC123F"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9</w:t>
            </w:r>
          </w:p>
        </w:tc>
      </w:tr>
    </w:tbl>
    <w:p w14:paraId="28806137"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b/>
          <w:bCs/>
          <w:sz w:val="24"/>
          <w:szCs w:val="24"/>
          <w:lang w:eastAsia="de-AT"/>
        </w:rPr>
        <w:t>Warum das für unsere Mitglieder vorteilhaft ist</w:t>
      </w:r>
    </w:p>
    <w:p w14:paraId="601E4216" w14:textId="77777777" w:rsidR="00FC4837" w:rsidRPr="00FC4837" w:rsidRDefault="00FC4837" w:rsidP="00FC4837">
      <w:pPr>
        <w:numPr>
          <w:ilvl w:val="0"/>
          <w:numId w:val="3"/>
        </w:num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b/>
          <w:bCs/>
          <w:sz w:val="24"/>
          <w:szCs w:val="24"/>
          <w:lang w:eastAsia="de-AT"/>
        </w:rPr>
        <w:t>Günstiger Strombezug:</w:t>
      </w:r>
      <w:r w:rsidRPr="00FC4837">
        <w:rPr>
          <w:rFonts w:ascii="Times New Roman" w:eastAsia="Times New Roman" w:hAnsi="Times New Roman" w:cs="Times New Roman"/>
          <w:sz w:val="24"/>
          <w:szCs w:val="24"/>
          <w:lang w:eastAsia="de-AT"/>
        </w:rPr>
        <w:t xml:space="preserve"> 10,0 ct/kWh – weiterhin sehr attraktiv gegenüber klassischen Angeboten am Markt.</w:t>
      </w:r>
    </w:p>
    <w:p w14:paraId="03DA2E4C" w14:textId="77777777" w:rsidR="00FC4837" w:rsidRPr="00FC4837" w:rsidRDefault="00FC4837" w:rsidP="00FC4837">
      <w:pPr>
        <w:numPr>
          <w:ilvl w:val="0"/>
          <w:numId w:val="3"/>
        </w:num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b/>
          <w:bCs/>
          <w:sz w:val="24"/>
          <w:szCs w:val="24"/>
          <w:lang w:eastAsia="de-AT"/>
        </w:rPr>
        <w:t>Faire, transparente Einspeisung:</w:t>
      </w:r>
      <w:r w:rsidRPr="00FC4837">
        <w:rPr>
          <w:rFonts w:ascii="Times New Roman" w:eastAsia="Times New Roman" w:hAnsi="Times New Roman" w:cs="Times New Roman"/>
          <w:sz w:val="24"/>
          <w:szCs w:val="24"/>
          <w:lang w:eastAsia="de-AT"/>
        </w:rPr>
        <w:t xml:space="preserve"> Kopplung an den monatlichen Marktpreis schafft </w:t>
      </w:r>
      <w:r w:rsidRPr="00FC4837">
        <w:rPr>
          <w:rFonts w:ascii="Times New Roman" w:eastAsia="Times New Roman" w:hAnsi="Times New Roman" w:cs="Times New Roman"/>
          <w:b/>
          <w:bCs/>
          <w:sz w:val="24"/>
          <w:szCs w:val="24"/>
          <w:lang w:eastAsia="de-AT"/>
        </w:rPr>
        <w:t>Nachvollziehbarkeit</w:t>
      </w:r>
      <w:r w:rsidRPr="00FC4837">
        <w:rPr>
          <w:rFonts w:ascii="Times New Roman" w:eastAsia="Times New Roman" w:hAnsi="Times New Roman" w:cs="Times New Roman"/>
          <w:sz w:val="24"/>
          <w:szCs w:val="24"/>
          <w:lang w:eastAsia="de-AT"/>
        </w:rPr>
        <w:t>, bildet die Realität am Strommarkt ab.</w:t>
      </w:r>
    </w:p>
    <w:p w14:paraId="642EC717" w14:textId="77777777" w:rsidR="00FC4837" w:rsidRPr="00FC4837" w:rsidRDefault="00FC4837" w:rsidP="00FC4837">
      <w:pPr>
        <w:numPr>
          <w:ilvl w:val="0"/>
          <w:numId w:val="3"/>
        </w:num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b/>
          <w:bCs/>
          <w:sz w:val="24"/>
          <w:szCs w:val="24"/>
          <w:lang w:eastAsia="de-AT"/>
        </w:rPr>
        <w:t>Regional [&amp;] gemeinschaftlich:</w:t>
      </w:r>
      <w:r w:rsidRPr="00FC4837">
        <w:rPr>
          <w:rFonts w:ascii="Times New Roman" w:eastAsia="Times New Roman" w:hAnsi="Times New Roman" w:cs="Times New Roman"/>
          <w:sz w:val="24"/>
          <w:szCs w:val="24"/>
          <w:lang w:eastAsia="de-AT"/>
        </w:rPr>
        <w:t xml:space="preserve"> Strom aus der Region bleibt in der Region – das stärkt lokale Erzeugung und reduziert Abhängigkeiten.</w:t>
      </w:r>
    </w:p>
    <w:p w14:paraId="7198A102" w14:textId="77777777" w:rsidR="00FC4837" w:rsidRPr="00FC4837" w:rsidRDefault="00FC4837" w:rsidP="00FC4837">
      <w:pPr>
        <w:numPr>
          <w:ilvl w:val="0"/>
          <w:numId w:val="3"/>
        </w:num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b/>
          <w:bCs/>
          <w:sz w:val="24"/>
          <w:szCs w:val="24"/>
          <w:lang w:eastAsia="de-AT"/>
        </w:rPr>
        <w:t>Keine Fixkosten:</w:t>
      </w:r>
      <w:r w:rsidRPr="00FC4837">
        <w:rPr>
          <w:rFonts w:ascii="Times New Roman" w:eastAsia="Times New Roman" w:hAnsi="Times New Roman" w:cs="Times New Roman"/>
          <w:sz w:val="24"/>
          <w:szCs w:val="24"/>
          <w:lang w:eastAsia="de-AT"/>
        </w:rPr>
        <w:t xml:space="preserve"> Wir verrechnen weiterhin </w:t>
      </w:r>
      <w:r w:rsidRPr="00FC4837">
        <w:rPr>
          <w:rFonts w:ascii="Times New Roman" w:eastAsia="Times New Roman" w:hAnsi="Times New Roman" w:cs="Times New Roman"/>
          <w:b/>
          <w:bCs/>
          <w:sz w:val="24"/>
          <w:szCs w:val="24"/>
          <w:lang w:eastAsia="de-AT"/>
        </w:rPr>
        <w:t>keine monatlichen Fixkosten</w:t>
      </w:r>
      <w:r w:rsidRPr="00FC4837">
        <w:rPr>
          <w:rFonts w:ascii="Times New Roman" w:eastAsia="Times New Roman" w:hAnsi="Times New Roman" w:cs="Times New Roman"/>
          <w:sz w:val="24"/>
          <w:szCs w:val="24"/>
          <w:lang w:eastAsia="de-AT"/>
        </w:rPr>
        <w:t xml:space="preserve"> für den Betrieb der Energiegemeinschaft. Andere Energiegemeinschaften in der Region verlangen teils </w:t>
      </w:r>
      <w:r w:rsidRPr="00FC4837">
        <w:rPr>
          <w:rFonts w:ascii="Times New Roman" w:eastAsia="Times New Roman" w:hAnsi="Times New Roman" w:cs="Times New Roman"/>
          <w:b/>
          <w:bCs/>
          <w:sz w:val="24"/>
          <w:szCs w:val="24"/>
          <w:lang w:eastAsia="de-AT"/>
        </w:rPr>
        <w:t>über 2 € pro Monat und Zählpunkt</w:t>
      </w:r>
      <w:r w:rsidRPr="00FC4837">
        <w:rPr>
          <w:rFonts w:ascii="Times New Roman" w:eastAsia="Times New Roman" w:hAnsi="Times New Roman" w:cs="Times New Roman"/>
          <w:sz w:val="24"/>
          <w:szCs w:val="24"/>
          <w:lang w:eastAsia="de-AT"/>
        </w:rPr>
        <w:t xml:space="preserve"> – bei uns bleibt es </w:t>
      </w:r>
      <w:r w:rsidRPr="00FC4837">
        <w:rPr>
          <w:rFonts w:ascii="Times New Roman" w:eastAsia="Times New Roman" w:hAnsi="Times New Roman" w:cs="Times New Roman"/>
          <w:b/>
          <w:bCs/>
          <w:sz w:val="24"/>
          <w:szCs w:val="24"/>
          <w:lang w:eastAsia="de-AT"/>
        </w:rPr>
        <w:t>bei reinen Arbeitspreisen</w:t>
      </w:r>
      <w:r w:rsidRPr="00FC4837">
        <w:rPr>
          <w:rFonts w:ascii="Times New Roman" w:eastAsia="Times New Roman" w:hAnsi="Times New Roman" w:cs="Times New Roman"/>
          <w:sz w:val="24"/>
          <w:szCs w:val="24"/>
          <w:lang w:eastAsia="de-AT"/>
        </w:rPr>
        <w:t>.</w:t>
      </w:r>
    </w:p>
    <w:p w14:paraId="0765B9E6"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b/>
          <w:bCs/>
          <w:sz w:val="24"/>
          <w:szCs w:val="24"/>
          <w:lang w:eastAsia="de-AT"/>
        </w:rPr>
        <w:t>Kostenvorteil gegenüber Verbund/EVN:</w:t>
      </w:r>
      <w:r w:rsidRPr="00FC4837">
        <w:rPr>
          <w:rFonts w:ascii="Times New Roman" w:eastAsia="Times New Roman" w:hAnsi="Times New Roman" w:cs="Times New Roman"/>
          <w:sz w:val="24"/>
          <w:szCs w:val="24"/>
          <w:lang w:eastAsia="de-AT"/>
        </w:rPr>
        <w:t xml:space="preserve"> Im Vergleich zu den aktuellen Angeboten von Verbund und EVN spart jedes Mitglied beim Bezug von Strom aus der Energiegemeinschaft weiterhin </w:t>
      </w:r>
      <w:r w:rsidRPr="00FC4837">
        <w:rPr>
          <w:rFonts w:ascii="Times New Roman" w:eastAsia="Times New Roman" w:hAnsi="Times New Roman" w:cs="Times New Roman"/>
          <w:b/>
          <w:bCs/>
          <w:sz w:val="24"/>
          <w:szCs w:val="24"/>
          <w:lang w:eastAsia="de-AT"/>
        </w:rPr>
        <w:t>rund 2 Cent pro kWh</w:t>
      </w:r>
      <w:r w:rsidRPr="00FC4837">
        <w:rPr>
          <w:rFonts w:ascii="Times New Roman" w:eastAsia="Times New Roman" w:hAnsi="Times New Roman" w:cs="Times New Roman"/>
          <w:sz w:val="24"/>
          <w:szCs w:val="24"/>
          <w:lang w:eastAsia="de-AT"/>
        </w:rPr>
        <w:t xml:space="preserve">. </w:t>
      </w:r>
      <w:r w:rsidRPr="00FC4837">
        <w:rPr>
          <w:rFonts w:ascii="Times New Roman" w:eastAsia="Times New Roman" w:hAnsi="Times New Roman" w:cs="Times New Roman"/>
          <w:sz w:val="24"/>
          <w:szCs w:val="24"/>
          <w:lang w:eastAsia="de-AT"/>
        </w:rPr>
        <w:br/>
        <w:t xml:space="preserve">Dabei ist bereits berücksichtigt, dass derzeit auch beim normalen Netzstrom </w:t>
      </w:r>
      <w:r w:rsidRPr="00FC4837">
        <w:rPr>
          <w:rFonts w:ascii="Times New Roman" w:eastAsia="Times New Roman" w:hAnsi="Times New Roman" w:cs="Times New Roman"/>
          <w:b/>
          <w:bCs/>
          <w:sz w:val="24"/>
          <w:szCs w:val="24"/>
          <w:lang w:eastAsia="de-AT"/>
        </w:rPr>
        <w:t xml:space="preserve">keine bzw. nur </w:t>
      </w:r>
      <w:r w:rsidRPr="00FC4837">
        <w:rPr>
          <w:rFonts w:ascii="Times New Roman" w:eastAsia="Times New Roman" w:hAnsi="Times New Roman" w:cs="Times New Roman"/>
          <w:b/>
          <w:bCs/>
          <w:sz w:val="24"/>
          <w:szCs w:val="24"/>
          <w:lang w:eastAsia="de-AT"/>
        </w:rPr>
        <w:lastRenderedPageBreak/>
        <w:t>ca. 0,1 Cent/kWh Elektrizitätsabgabe</w:t>
      </w:r>
      <w:r w:rsidRPr="00FC4837">
        <w:rPr>
          <w:rFonts w:ascii="Times New Roman" w:eastAsia="Times New Roman" w:hAnsi="Times New Roman" w:cs="Times New Roman"/>
          <w:sz w:val="24"/>
          <w:szCs w:val="24"/>
          <w:lang w:eastAsia="de-AT"/>
        </w:rPr>
        <w:t xml:space="preserve"> anfällt. Diese Abgabensenkung ist allerdings </w:t>
      </w:r>
      <w:r w:rsidRPr="00FC4837">
        <w:rPr>
          <w:rFonts w:ascii="Times New Roman" w:eastAsia="Times New Roman" w:hAnsi="Times New Roman" w:cs="Times New Roman"/>
          <w:b/>
          <w:bCs/>
          <w:sz w:val="24"/>
          <w:szCs w:val="24"/>
          <w:lang w:eastAsia="de-AT"/>
        </w:rPr>
        <w:t>auf ein Jahr befristet</w:t>
      </w:r>
      <w:r w:rsidRPr="00FC4837">
        <w:rPr>
          <w:rFonts w:ascii="Times New Roman" w:eastAsia="Times New Roman" w:hAnsi="Times New Roman" w:cs="Times New Roman"/>
          <w:sz w:val="24"/>
          <w:szCs w:val="24"/>
          <w:lang w:eastAsia="de-AT"/>
        </w:rPr>
        <w:t xml:space="preserve">. </w:t>
      </w:r>
      <w:r w:rsidRPr="00FC4837">
        <w:rPr>
          <w:rFonts w:ascii="Times New Roman" w:eastAsia="Times New Roman" w:hAnsi="Times New Roman" w:cs="Times New Roman"/>
          <w:b/>
          <w:bCs/>
          <w:sz w:val="24"/>
          <w:szCs w:val="24"/>
          <w:lang w:eastAsia="de-AT"/>
        </w:rPr>
        <w:t>Ab dem nächsten Jahr</w:t>
      </w:r>
      <w:r w:rsidRPr="00FC4837">
        <w:rPr>
          <w:rFonts w:ascii="Times New Roman" w:eastAsia="Times New Roman" w:hAnsi="Times New Roman" w:cs="Times New Roman"/>
          <w:sz w:val="24"/>
          <w:szCs w:val="24"/>
          <w:lang w:eastAsia="de-AT"/>
        </w:rPr>
        <w:t xml:space="preserve"> steigt der Kostenvorteil der Energiegemeinschaft Prinzersdorf – bei gleichbleibenden Rahmenbedingungen – wieder auf </w:t>
      </w:r>
      <w:r w:rsidRPr="00FC4837">
        <w:rPr>
          <w:rFonts w:ascii="Times New Roman" w:eastAsia="Times New Roman" w:hAnsi="Times New Roman" w:cs="Times New Roman"/>
          <w:b/>
          <w:bCs/>
          <w:sz w:val="24"/>
          <w:szCs w:val="24"/>
          <w:lang w:eastAsia="de-AT"/>
        </w:rPr>
        <w:t>rund 3,4 Cent pro kWh</w:t>
      </w:r>
      <w:r w:rsidRPr="00FC4837">
        <w:rPr>
          <w:rFonts w:ascii="Times New Roman" w:eastAsia="Times New Roman" w:hAnsi="Times New Roman" w:cs="Times New Roman"/>
          <w:sz w:val="24"/>
          <w:szCs w:val="24"/>
          <w:lang w:eastAsia="de-AT"/>
        </w:rPr>
        <w:t>.</w:t>
      </w:r>
    </w:p>
    <w:p w14:paraId="64995CE2"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Die gute Nachricht zum Schluss – wir sind gerade in den finalen Verhandlungen für den Beitritt von größeren Abnehmern – daher stehen die Chancen sehr gut, dass wir hohe Abnahmemengen für die bevorstehenden produktionsstarken Monate gewährleisten können. Unten findet ihr noch eine graphische Darstellung der Energiemengen 2025 und eine Interpretation dazu.</w:t>
      </w:r>
    </w:p>
    <w:p w14:paraId="6A8D2A02" w14:textId="77777777" w:rsidR="00FC4837" w:rsidRPr="00FC4837" w:rsidRDefault="00FC4837" w:rsidP="00FC4837">
      <w:pPr>
        <w:spacing w:before="100" w:beforeAutospacing="1" w:after="100" w:afterAutospacing="1" w:line="240" w:lineRule="auto"/>
        <w:rPr>
          <w:rFonts w:ascii="Times New Roman" w:eastAsia="Times New Roman" w:hAnsi="Times New Roman" w:cs="Times New Roman"/>
          <w:sz w:val="24"/>
          <w:szCs w:val="24"/>
          <w:lang w:eastAsia="de-AT"/>
        </w:rPr>
      </w:pPr>
      <w:r w:rsidRPr="00FC4837">
        <w:rPr>
          <w:rFonts w:ascii="Times New Roman" w:eastAsia="Times New Roman" w:hAnsi="Times New Roman" w:cs="Times New Roman"/>
          <w:sz w:val="24"/>
          <w:szCs w:val="24"/>
          <w:lang w:eastAsia="de-AT"/>
        </w:rPr>
        <w:t>Bei Fragen meldet euch bitte jederzeit.</w:t>
      </w:r>
    </w:p>
    <w:p w14:paraId="09C388A4" w14:textId="77777777" w:rsidR="00693CC9" w:rsidRDefault="00693CC9"/>
    <w:sectPr w:rsidR="00693C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13F50"/>
    <w:multiLevelType w:val="multilevel"/>
    <w:tmpl w:val="2336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CB0E88"/>
    <w:multiLevelType w:val="multilevel"/>
    <w:tmpl w:val="5F28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BA536F"/>
    <w:multiLevelType w:val="multilevel"/>
    <w:tmpl w:val="4232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2770AF"/>
    <w:multiLevelType w:val="multilevel"/>
    <w:tmpl w:val="8508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F20BD5"/>
    <w:multiLevelType w:val="multilevel"/>
    <w:tmpl w:val="4842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106A4E"/>
    <w:multiLevelType w:val="multilevel"/>
    <w:tmpl w:val="080C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BD4"/>
    <w:rsid w:val="005D7BD4"/>
    <w:rsid w:val="00693CC9"/>
    <w:rsid w:val="00FC483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1C25C"/>
  <w15:chartTrackingRefBased/>
  <w15:docId w15:val="{EC6235F6-18EC-4CF6-8616-4B1120DB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FC4837"/>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Fett">
    <w:name w:val="Strong"/>
    <w:basedOn w:val="Absatz-Standardschriftart"/>
    <w:uiPriority w:val="22"/>
    <w:qFormat/>
    <w:rsid w:val="00FC48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443787">
      <w:bodyDiv w:val="1"/>
      <w:marLeft w:val="0"/>
      <w:marRight w:val="0"/>
      <w:marTop w:val="0"/>
      <w:marBottom w:val="0"/>
      <w:divBdr>
        <w:top w:val="none" w:sz="0" w:space="0" w:color="auto"/>
        <w:left w:val="none" w:sz="0" w:space="0" w:color="auto"/>
        <w:bottom w:val="none" w:sz="0" w:space="0" w:color="auto"/>
        <w:right w:val="none" w:sz="0" w:space="0" w:color="auto"/>
      </w:divBdr>
    </w:div>
    <w:div w:id="139566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7ECD30C68A7F4CAECDC93514B792BC" ma:contentTypeVersion="15" ma:contentTypeDescription="Ein neues Dokument erstellen." ma:contentTypeScope="" ma:versionID="1882c5c2f955f9626743f0deafd4c635">
  <xsd:schema xmlns:xsd="http://www.w3.org/2001/XMLSchema" xmlns:xs="http://www.w3.org/2001/XMLSchema" xmlns:p="http://schemas.microsoft.com/office/2006/metadata/properties" xmlns:ns2="bd1cef82-64e8-4b54-a6d1-aaec1ecf78d2" xmlns:ns3="4377fdc2-67a5-4969-adbc-100db5260c2a" targetNamespace="http://schemas.microsoft.com/office/2006/metadata/properties" ma:root="true" ma:fieldsID="53dd1b6288de4780062eb474c79c6cef" ns2:_="" ns3:_="">
    <xsd:import namespace="bd1cef82-64e8-4b54-a6d1-aaec1ecf78d2"/>
    <xsd:import namespace="4377fdc2-67a5-4969-adbc-100db5260c2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cef82-64e8-4b54-a6d1-aaec1ecf78d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1c0212a4-1e1a-4abd-b418-768c9c71035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77fdc2-67a5-4969-adbc-100db5260c2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3f36a0a-b3fd-475b-ab5b-81d826628876}" ma:internalName="TaxCatchAll" ma:showField="CatchAllData" ma:web="4377fdc2-67a5-4969-adbc-100db5260c2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1cef82-64e8-4b54-a6d1-aaec1ecf78d2">
      <Terms xmlns="http://schemas.microsoft.com/office/infopath/2007/PartnerControls"/>
    </lcf76f155ced4ddcb4097134ff3c332f>
    <TaxCatchAll xmlns="4377fdc2-67a5-4969-adbc-100db5260c2a" xsi:nil="true"/>
  </documentManagement>
</p:properties>
</file>

<file path=customXml/itemProps1.xml><?xml version="1.0" encoding="utf-8"?>
<ds:datastoreItem xmlns:ds="http://schemas.openxmlformats.org/officeDocument/2006/customXml" ds:itemID="{17592A0E-3D0E-4B18-A322-802B81CD92CA}"/>
</file>

<file path=customXml/itemProps2.xml><?xml version="1.0" encoding="utf-8"?>
<ds:datastoreItem xmlns:ds="http://schemas.openxmlformats.org/officeDocument/2006/customXml" ds:itemID="{3E9D8886-6FF2-469C-AB4B-60C549F6AC5B}"/>
</file>

<file path=customXml/itemProps3.xml><?xml version="1.0" encoding="utf-8"?>
<ds:datastoreItem xmlns:ds="http://schemas.openxmlformats.org/officeDocument/2006/customXml" ds:itemID="{5B9DE9AF-8705-48CE-B691-AC3E785F33EB}"/>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2000</Characters>
  <Application>Microsoft Office Word</Application>
  <DocSecurity>0</DocSecurity>
  <Lines>16</Lines>
  <Paragraphs>4</Paragraphs>
  <ScaleCrop>false</ScaleCrop>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Recht [GPT VentuSolis Holding GmbH]</dc:creator>
  <cp:keywords/>
  <dc:description/>
  <cp:lastModifiedBy>Recht [GPT VentuSolis Holding GmbH]</cp:lastModifiedBy>
  <cp:revision>3</cp:revision>
  <dcterms:created xsi:type="dcterms:W3CDTF">2026-03-28T16:32:00Z</dcterms:created>
  <dcterms:modified xsi:type="dcterms:W3CDTF">2026-03-28T16:32:00Z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0x010100DD7ECD30C68A7F4CAECDC93514B792BC</vt:lpwstr>
  </property>
</Properties>
</file>